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3F18" w14:textId="2B5483C3" w:rsidR="00687AEA" w:rsidRPr="00D6492C" w:rsidRDefault="00136911">
      <w:pPr>
        <w:spacing w:line="252" w:lineRule="auto"/>
        <w:jc w:val="both"/>
        <w:rPr>
          <w:bCs/>
          <w:sz w:val="24"/>
          <w:szCs w:val="24"/>
        </w:rPr>
      </w:pPr>
      <w:r w:rsidRPr="00D6492C">
        <w:rPr>
          <w:bCs/>
          <w:sz w:val="24"/>
          <w:szCs w:val="24"/>
        </w:rPr>
        <w:t xml:space="preserve">Pasto, </w:t>
      </w:r>
      <w:r w:rsidR="00D6492C" w:rsidRPr="00D6492C">
        <w:rPr>
          <w:bCs/>
          <w:sz w:val="24"/>
          <w:szCs w:val="24"/>
        </w:rPr>
        <w:t>09 de noviembre</w:t>
      </w:r>
      <w:r w:rsidRPr="00D6492C">
        <w:rPr>
          <w:bCs/>
          <w:sz w:val="24"/>
          <w:szCs w:val="24"/>
        </w:rPr>
        <w:t xml:space="preserve"> de 2021</w:t>
      </w:r>
    </w:p>
    <w:p w14:paraId="3A0453AF" w14:textId="77777777" w:rsidR="00687AEA" w:rsidRPr="00D6492C" w:rsidRDefault="00687AEA">
      <w:pPr>
        <w:spacing w:line="240" w:lineRule="auto"/>
        <w:jc w:val="both"/>
        <w:rPr>
          <w:bCs/>
          <w:sz w:val="24"/>
          <w:szCs w:val="24"/>
        </w:rPr>
      </w:pPr>
    </w:p>
    <w:p w14:paraId="530B43DA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7236F5E2" w14:textId="77777777" w:rsidR="00687AEA" w:rsidRDefault="001369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Señores</w:t>
      </w:r>
    </w:p>
    <w:p w14:paraId="4183CA53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77F5A94A" w14:textId="77777777" w:rsidR="00687AEA" w:rsidRDefault="00136911">
      <w:pPr>
        <w:spacing w:line="240" w:lineRule="auto"/>
        <w:ind w:right="18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ÓRGANO COLEGIADO DE ADMINISTRACIÓN Y DECISIÓN </w:t>
      </w:r>
    </w:p>
    <w:p w14:paraId="266C859A" w14:textId="77777777" w:rsidR="00687AEA" w:rsidRDefault="00136911">
      <w:pPr>
        <w:spacing w:line="240" w:lineRule="auto"/>
        <w:ind w:right="18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CIENCIA, TECNOLOGÍA E INNOVACIÓN</w:t>
      </w:r>
    </w:p>
    <w:p w14:paraId="2C4E3964" w14:textId="77777777" w:rsidR="00687AEA" w:rsidRDefault="00136911">
      <w:pPr>
        <w:spacing w:line="240" w:lineRule="auto"/>
        <w:ind w:right="1841"/>
        <w:jc w:val="both"/>
        <w:rPr>
          <w:sz w:val="24"/>
          <w:szCs w:val="24"/>
        </w:rPr>
      </w:pPr>
      <w:r>
        <w:rPr>
          <w:sz w:val="24"/>
          <w:szCs w:val="24"/>
        </w:rPr>
        <w:t>Bogotá D.C.</w:t>
      </w:r>
    </w:p>
    <w:p w14:paraId="4FFC8001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24C77591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12F5EEEE" w14:textId="77777777" w:rsidR="00687AEA" w:rsidRDefault="00136911">
      <w:pPr>
        <w:spacing w:line="240" w:lineRule="auto"/>
        <w:ind w:right="2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Asunto: </w:t>
      </w:r>
      <w:r>
        <w:rPr>
          <w:sz w:val="24"/>
          <w:szCs w:val="24"/>
        </w:rPr>
        <w:t xml:space="preserve">Participación de proyecto susceptible de ser financiado con recursos de Asignación para la </w:t>
      </w:r>
      <w:proofErr w:type="spellStart"/>
      <w:r>
        <w:rPr>
          <w:sz w:val="24"/>
          <w:szCs w:val="24"/>
        </w:rPr>
        <w:t>CTeI</w:t>
      </w:r>
      <w:proofErr w:type="spellEnd"/>
      <w:r>
        <w:rPr>
          <w:sz w:val="24"/>
          <w:szCs w:val="24"/>
        </w:rPr>
        <w:t xml:space="preserve"> – SGR</w:t>
      </w:r>
    </w:p>
    <w:p w14:paraId="7FDBDD39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30C2DFD3" w14:textId="77777777" w:rsidR="00687AEA" w:rsidRDefault="00136911">
      <w:pPr>
        <w:spacing w:line="240" w:lineRule="auto"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mi calidad de Representante Legal de </w:t>
      </w:r>
      <w:r>
        <w:rPr>
          <w:b/>
          <w:sz w:val="24"/>
          <w:szCs w:val="24"/>
        </w:rPr>
        <w:t>“GOBERNACIÓN DE NARIÑO”</w:t>
      </w:r>
      <w:r>
        <w:rPr>
          <w:b/>
          <w:color w:val="5B9BD5"/>
          <w:sz w:val="24"/>
          <w:szCs w:val="24"/>
        </w:rPr>
        <w:t xml:space="preserve"> </w:t>
      </w:r>
      <w:r>
        <w:rPr>
          <w:sz w:val="24"/>
          <w:szCs w:val="24"/>
        </w:rPr>
        <w:t xml:space="preserve">identificado con NIT </w:t>
      </w:r>
      <w:r>
        <w:rPr>
          <w:b/>
          <w:sz w:val="24"/>
          <w:szCs w:val="24"/>
        </w:rPr>
        <w:t xml:space="preserve">800.103.923 </w:t>
      </w:r>
      <w:r>
        <w:rPr>
          <w:sz w:val="24"/>
          <w:szCs w:val="24"/>
        </w:rPr>
        <w:t>de manera atenta informo que:</w:t>
      </w:r>
    </w:p>
    <w:p w14:paraId="3F116EE7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7D870B2B" w14:textId="5AA11E42" w:rsidR="00687AEA" w:rsidRDefault="00136911">
      <w:pPr>
        <w:spacing w:line="240" w:lineRule="auto"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>Nuestra entidad participa en el proyecto de inversión denominado</w:t>
      </w:r>
      <w:r w:rsidR="008F75CE">
        <w:rPr>
          <w:sz w:val="24"/>
          <w:szCs w:val="24"/>
        </w:rPr>
        <w:t xml:space="preserve"> </w:t>
      </w:r>
      <w:r>
        <w:t>“</w:t>
      </w:r>
      <w:r w:rsidR="008F75CE" w:rsidRPr="008F75CE">
        <w:rPr>
          <w:sz w:val="24"/>
          <w:szCs w:val="24"/>
        </w:rPr>
        <w:t xml:space="preserve">FORTALECIMIENTO DEL CENTRO DE DESARROLLO TECNOLÓGICO PARA LA INNOVACIÓN Y COMPETITIVIDAD REGIONAL – CENTIR PARA LA TRANSFERENCIA TECNOLÓGICA DE CTEI A LOS SECTORES PRODUCTIVOS Y SOCIALES </w:t>
      </w:r>
      <w:r w:rsidR="00D6492C" w:rsidRPr="008F75CE">
        <w:rPr>
          <w:sz w:val="24"/>
          <w:szCs w:val="24"/>
        </w:rPr>
        <w:t>DEL DEPARTAMENTO</w:t>
      </w:r>
      <w:r w:rsidR="008F75CE" w:rsidRPr="008F75CE">
        <w:rPr>
          <w:sz w:val="24"/>
          <w:szCs w:val="24"/>
        </w:rPr>
        <w:t xml:space="preserve"> DE NARIÑO</w:t>
      </w:r>
      <w:r>
        <w:t>”</w:t>
      </w:r>
      <w:r>
        <w:rPr>
          <w:sz w:val="24"/>
          <w:szCs w:val="24"/>
        </w:rPr>
        <w:t>.</w:t>
      </w:r>
    </w:p>
    <w:p w14:paraId="40C472FF" w14:textId="77777777" w:rsidR="00687AEA" w:rsidRDefault="00687AEA">
      <w:pPr>
        <w:spacing w:line="240" w:lineRule="auto"/>
        <w:ind w:left="260" w:right="260"/>
        <w:jc w:val="both"/>
        <w:rPr>
          <w:sz w:val="28"/>
          <w:szCs w:val="28"/>
        </w:rPr>
      </w:pPr>
    </w:p>
    <w:p w14:paraId="4B7C7C93" w14:textId="77777777" w:rsidR="00687AEA" w:rsidRDefault="00136911">
      <w:pPr>
        <w:spacing w:line="240" w:lineRule="auto"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>Nuestra entidad conoce el contenido del proyecto formulado y en caso de ser aprobado por el Órgano Colegiado de Administración y Decisión de Ciencia, Tecnología e Innovación del Sistema General de Regalías, nos comprometemos a desarrollar las actividades descritas bajo nuestra responsabilidad según lo previsto en el proyecto.</w:t>
      </w:r>
    </w:p>
    <w:p w14:paraId="01C3E860" w14:textId="77777777" w:rsidR="00687AEA" w:rsidRDefault="00687AEA">
      <w:pPr>
        <w:spacing w:line="240" w:lineRule="auto"/>
        <w:ind w:right="260"/>
        <w:jc w:val="both"/>
        <w:rPr>
          <w:sz w:val="24"/>
          <w:szCs w:val="24"/>
        </w:rPr>
      </w:pPr>
    </w:p>
    <w:p w14:paraId="53B65D9A" w14:textId="1B67A173" w:rsidR="00687AEA" w:rsidRDefault="00136911">
      <w:pPr>
        <w:spacing w:line="240" w:lineRule="auto"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Así mismo, nos permitimos indicar que aportaremos como contrapartida en </w:t>
      </w:r>
      <w:r w:rsidRPr="00043859">
        <w:rPr>
          <w:b/>
          <w:sz w:val="24"/>
          <w:szCs w:val="24"/>
        </w:rPr>
        <w:t>especie</w:t>
      </w:r>
      <w:r>
        <w:rPr>
          <w:sz w:val="24"/>
          <w:szCs w:val="24"/>
        </w:rPr>
        <w:t xml:space="preserve"> por valor de</w:t>
      </w:r>
      <w:r w:rsidR="008F75CE">
        <w:rPr>
          <w:sz w:val="24"/>
          <w:szCs w:val="24"/>
        </w:rPr>
        <w:t xml:space="preserve"> veinte millones de pesos M/</w:t>
      </w:r>
      <w:proofErr w:type="spellStart"/>
      <w:r w:rsidR="008F75CE">
        <w:rPr>
          <w:sz w:val="24"/>
          <w:szCs w:val="24"/>
        </w:rPr>
        <w:t>cte</w:t>
      </w:r>
      <w:proofErr w:type="spellEnd"/>
      <w:r w:rsidR="008F75CE">
        <w:rPr>
          <w:sz w:val="24"/>
          <w:szCs w:val="24"/>
        </w:rPr>
        <w:t xml:space="preserve"> (</w:t>
      </w:r>
      <w:r>
        <w:rPr>
          <w:sz w:val="24"/>
          <w:szCs w:val="24"/>
        </w:rPr>
        <w:t>$</w:t>
      </w:r>
      <w:r>
        <w:t>20.000.000</w:t>
      </w:r>
      <w:r w:rsidR="008F75CE">
        <w:t>)</w:t>
      </w:r>
      <w:r>
        <w:rPr>
          <w:b/>
          <w:color w:val="5B9BD5"/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representados en </w:t>
      </w:r>
      <w:r w:rsidR="008F75CE">
        <w:rPr>
          <w:sz w:val="24"/>
          <w:szCs w:val="24"/>
        </w:rPr>
        <w:t>los rubros de Capacitación y Eventos</w:t>
      </w:r>
      <w:r>
        <w:rPr>
          <w:sz w:val="24"/>
          <w:szCs w:val="24"/>
        </w:rPr>
        <w:t>.</w:t>
      </w:r>
    </w:p>
    <w:p w14:paraId="1631B5AA" w14:textId="77777777" w:rsidR="00687AEA" w:rsidRDefault="00687AEA">
      <w:pPr>
        <w:spacing w:line="240" w:lineRule="auto"/>
        <w:jc w:val="both"/>
        <w:rPr>
          <w:sz w:val="24"/>
          <w:szCs w:val="24"/>
        </w:rPr>
      </w:pPr>
    </w:p>
    <w:p w14:paraId="15166390" w14:textId="77777777" w:rsidR="008F75CE" w:rsidRPr="00C515D4" w:rsidRDefault="008F75CE" w:rsidP="008F75CE">
      <w:pPr>
        <w:spacing w:line="240" w:lineRule="auto"/>
        <w:jc w:val="both"/>
        <w:rPr>
          <w:sz w:val="24"/>
          <w:szCs w:val="24"/>
        </w:rPr>
      </w:pPr>
      <w:r w:rsidRPr="00670D32">
        <w:rPr>
          <w:sz w:val="24"/>
          <w:szCs w:val="24"/>
        </w:rPr>
        <w:t>A continuación, me permito dar a conocer la Capacidad Técnica e Idoneidad de la Gobernación de Nariño para la participación en el proyecto en mención:</w:t>
      </w:r>
    </w:p>
    <w:p w14:paraId="16F6502D" w14:textId="77777777" w:rsidR="008F75CE" w:rsidRDefault="008F75CE" w:rsidP="008F75CE">
      <w:pPr>
        <w:spacing w:line="240" w:lineRule="auto"/>
        <w:ind w:right="260"/>
        <w:jc w:val="both"/>
        <w:rPr>
          <w:sz w:val="24"/>
          <w:szCs w:val="24"/>
        </w:rPr>
      </w:pPr>
    </w:p>
    <w:p w14:paraId="026E7F0E" w14:textId="77777777" w:rsidR="008F75CE" w:rsidRDefault="008F75CE" w:rsidP="008F75CE">
      <w:pPr>
        <w:widowControl w:val="0"/>
        <w:ind w:right="-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entidad pública del nivel departamental, la Gobernación de Nariño ha promovido el desarrollo de la Ciencia, la Tecnología y la Innovación mediante la solicitud de recursos al Sistema General de Regalías por más de 65 mil millones entre las vigencias 2012 hasta lo corrido del año 2019 (julio), y gestionado desde otras fuentes más de 11.700 millones de pesos; recursos correspondientes a 13 proyectos ejecutados en alianza con entidades como la Universidad de Nariño, </w:t>
      </w:r>
      <w:proofErr w:type="spellStart"/>
      <w:r>
        <w:rPr>
          <w:sz w:val="24"/>
          <w:szCs w:val="24"/>
        </w:rPr>
        <w:t>Agrosavia</w:t>
      </w:r>
      <w:proofErr w:type="spellEnd"/>
      <w:r>
        <w:rPr>
          <w:sz w:val="24"/>
          <w:szCs w:val="24"/>
        </w:rPr>
        <w:t xml:space="preserve">, CIAD, Corpoica, Instituto Alexander </w:t>
      </w:r>
      <w:proofErr w:type="spellStart"/>
      <w:r>
        <w:rPr>
          <w:sz w:val="24"/>
          <w:szCs w:val="24"/>
        </w:rPr>
        <w:t>Von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Humbolt</w:t>
      </w:r>
      <w:proofErr w:type="spellEnd"/>
      <w:r>
        <w:rPr>
          <w:sz w:val="24"/>
          <w:szCs w:val="24"/>
        </w:rPr>
        <w:t>.</w:t>
      </w:r>
    </w:p>
    <w:p w14:paraId="4F6FC04C" w14:textId="77777777" w:rsidR="008F75CE" w:rsidRDefault="008F75CE" w:rsidP="008F75CE">
      <w:pPr>
        <w:widowControl w:val="0"/>
        <w:spacing w:before="1"/>
        <w:jc w:val="both"/>
        <w:rPr>
          <w:sz w:val="24"/>
          <w:szCs w:val="24"/>
        </w:rPr>
      </w:pPr>
    </w:p>
    <w:p w14:paraId="640CF21B" w14:textId="552033CA" w:rsidR="008F75CE" w:rsidRDefault="008F75CE" w:rsidP="008F75CE">
      <w:pPr>
        <w:widowControl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A continuación, se resume la gestión de recursos para CTI en el departamento de Nariño.</w:t>
      </w:r>
    </w:p>
    <w:p w14:paraId="5FB0F497" w14:textId="77777777" w:rsidR="008F75CE" w:rsidRDefault="008F75CE" w:rsidP="008F75CE">
      <w:pPr>
        <w:widowControl w:val="0"/>
        <w:jc w:val="both"/>
        <w:rPr>
          <w:sz w:val="24"/>
          <w:szCs w:val="24"/>
        </w:rPr>
      </w:pPr>
    </w:p>
    <w:p w14:paraId="22A41C39" w14:textId="77777777" w:rsidR="008F75CE" w:rsidRDefault="008F75CE" w:rsidP="008F75CE">
      <w:pPr>
        <w:pStyle w:val="Ttulo1"/>
        <w:widowControl w:val="0"/>
        <w:spacing w:line="278" w:lineRule="auto"/>
        <w:ind w:right="1315"/>
        <w:jc w:val="center"/>
        <w:rPr>
          <w:color w:val="000000"/>
          <w:sz w:val="24"/>
          <w:szCs w:val="24"/>
        </w:rPr>
      </w:pPr>
      <w:bookmarkStart w:id="0" w:name="_heading=h.nmsj347lips5" w:colFirst="0" w:colLast="0"/>
      <w:bookmarkEnd w:id="0"/>
      <w:r>
        <w:rPr>
          <w:color w:val="000000"/>
          <w:sz w:val="24"/>
          <w:szCs w:val="24"/>
        </w:rPr>
        <w:lastRenderedPageBreak/>
        <w:t xml:space="preserve">Resumen de recursos gestionados desde Gobernación de Nariño vigencia 2012 – </w:t>
      </w:r>
      <w:proofErr w:type="gramStart"/>
      <w:r>
        <w:rPr>
          <w:color w:val="000000"/>
          <w:sz w:val="24"/>
          <w:szCs w:val="24"/>
        </w:rPr>
        <w:t>2019  (</w:t>
      </w:r>
      <w:proofErr w:type="gramEnd"/>
      <w:r>
        <w:rPr>
          <w:color w:val="000000"/>
          <w:sz w:val="24"/>
          <w:szCs w:val="24"/>
        </w:rPr>
        <w:t>julio). En Pesos COP.</w:t>
      </w:r>
    </w:p>
    <w:tbl>
      <w:tblPr>
        <w:tblW w:w="880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779"/>
        <w:gridCol w:w="2410"/>
        <w:gridCol w:w="2268"/>
      </w:tblGrid>
      <w:tr w:rsidR="008F75CE" w14:paraId="3BEFAD57" w14:textId="77777777" w:rsidTr="008F75CE">
        <w:trPr>
          <w:trHeight w:val="1007"/>
        </w:trPr>
        <w:tc>
          <w:tcPr>
            <w:tcW w:w="1350" w:type="dxa"/>
            <w:shd w:val="clear" w:color="auto" w:fill="D9D9D9"/>
          </w:tcPr>
          <w:p w14:paraId="0CDB889B" w14:textId="77777777" w:rsidR="008F75CE" w:rsidRDefault="008F75CE" w:rsidP="009B6A76">
            <w:pPr>
              <w:widowControl w:val="0"/>
              <w:spacing w:before="3"/>
              <w:rPr>
                <w:b/>
                <w:sz w:val="24"/>
                <w:szCs w:val="24"/>
              </w:rPr>
            </w:pPr>
          </w:p>
          <w:p w14:paraId="5D146A3D" w14:textId="77777777" w:rsidR="008F75CE" w:rsidRDefault="008F75CE" w:rsidP="009B6A76">
            <w:pPr>
              <w:widowControl w:val="0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VIGENCIA</w:t>
            </w:r>
          </w:p>
        </w:tc>
        <w:tc>
          <w:tcPr>
            <w:tcW w:w="2779" w:type="dxa"/>
            <w:shd w:val="clear" w:color="auto" w:fill="D9D9D9"/>
          </w:tcPr>
          <w:p w14:paraId="733C8E62" w14:textId="77777777" w:rsidR="008F75CE" w:rsidRDefault="008F75CE" w:rsidP="009B6A76">
            <w:pPr>
              <w:widowControl w:val="0"/>
              <w:spacing w:before="1"/>
              <w:ind w:left="75" w:right="106" w:firstLine="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SOLICITADO SGR VIGENCIA 2012</w:t>
            </w:r>
          </w:p>
          <w:p w14:paraId="752F38D7" w14:textId="77777777" w:rsidR="008F75CE" w:rsidRDefault="008F75CE" w:rsidP="009B6A76">
            <w:pPr>
              <w:widowControl w:val="0"/>
              <w:spacing w:line="291" w:lineRule="auto"/>
              <w:ind w:left="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 2019</w:t>
            </w:r>
          </w:p>
        </w:tc>
        <w:tc>
          <w:tcPr>
            <w:tcW w:w="2410" w:type="dxa"/>
            <w:shd w:val="clear" w:color="auto" w:fill="D9D9D9"/>
          </w:tcPr>
          <w:p w14:paraId="2FA47808" w14:textId="77777777" w:rsidR="008F75CE" w:rsidRDefault="008F75CE" w:rsidP="009B6A76">
            <w:pPr>
              <w:widowControl w:val="0"/>
              <w:tabs>
                <w:tab w:val="left" w:pos="1550"/>
              </w:tabs>
              <w:spacing w:before="169"/>
              <w:ind w:left="71" w:right="77" w:firstLine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OTRAS FUENTES</w:t>
            </w:r>
          </w:p>
        </w:tc>
        <w:tc>
          <w:tcPr>
            <w:tcW w:w="2268" w:type="dxa"/>
            <w:shd w:val="clear" w:color="auto" w:fill="D9D9D9"/>
          </w:tcPr>
          <w:p w14:paraId="539DA259" w14:textId="77777777" w:rsidR="008F75CE" w:rsidRDefault="008F75CE" w:rsidP="009B6A76">
            <w:pPr>
              <w:widowControl w:val="0"/>
              <w:spacing w:before="3"/>
              <w:rPr>
                <w:b/>
                <w:sz w:val="24"/>
                <w:szCs w:val="24"/>
              </w:rPr>
            </w:pPr>
          </w:p>
          <w:p w14:paraId="616A0932" w14:textId="77777777" w:rsidR="008F75CE" w:rsidRDefault="008F75CE" w:rsidP="009B6A76">
            <w:pPr>
              <w:widowControl w:val="0"/>
              <w:ind w:left="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8F75CE" w14:paraId="5E866E93" w14:textId="77777777" w:rsidTr="008F75CE">
        <w:trPr>
          <w:trHeight w:val="388"/>
        </w:trPr>
        <w:tc>
          <w:tcPr>
            <w:tcW w:w="1350" w:type="dxa"/>
          </w:tcPr>
          <w:p w14:paraId="74D9A4D7" w14:textId="77777777" w:rsidR="008F75CE" w:rsidRDefault="008F75CE" w:rsidP="009B6A76">
            <w:pPr>
              <w:widowControl w:val="0"/>
              <w:spacing w:before="25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779" w:type="dxa"/>
          </w:tcPr>
          <w:p w14:paraId="5C95BBD2" w14:textId="77777777" w:rsidR="008F75CE" w:rsidRDefault="008F75CE" w:rsidP="008F75CE">
            <w:pPr>
              <w:widowControl w:val="0"/>
              <w:spacing w:before="25"/>
              <w:ind w:lef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4.971.288.480</w:t>
            </w:r>
          </w:p>
        </w:tc>
        <w:tc>
          <w:tcPr>
            <w:tcW w:w="2410" w:type="dxa"/>
          </w:tcPr>
          <w:p w14:paraId="775360E5" w14:textId="77777777" w:rsidR="008F75CE" w:rsidRDefault="008F75CE" w:rsidP="008F75CE">
            <w:pPr>
              <w:widowControl w:val="0"/>
              <w:spacing w:before="25"/>
              <w:ind w:left="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2.322.139.822</w:t>
            </w:r>
          </w:p>
        </w:tc>
        <w:tc>
          <w:tcPr>
            <w:tcW w:w="2268" w:type="dxa"/>
          </w:tcPr>
          <w:p w14:paraId="54B929D3" w14:textId="77777777" w:rsidR="008F75CE" w:rsidRDefault="008F75CE" w:rsidP="008F75CE">
            <w:pPr>
              <w:widowControl w:val="0"/>
              <w:spacing w:before="25"/>
              <w:ind w:left="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7.293.428.302</w:t>
            </w:r>
          </w:p>
        </w:tc>
      </w:tr>
      <w:tr w:rsidR="008F75CE" w14:paraId="1120A153" w14:textId="77777777" w:rsidTr="008F75CE">
        <w:trPr>
          <w:trHeight w:val="412"/>
        </w:trPr>
        <w:tc>
          <w:tcPr>
            <w:tcW w:w="1350" w:type="dxa"/>
          </w:tcPr>
          <w:p w14:paraId="664CDEF5" w14:textId="77777777" w:rsidR="008F75CE" w:rsidRDefault="008F75CE" w:rsidP="009B6A76">
            <w:pPr>
              <w:widowControl w:val="0"/>
              <w:spacing w:before="45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2779" w:type="dxa"/>
          </w:tcPr>
          <w:p w14:paraId="2E1249E0" w14:textId="77777777" w:rsidR="008F75CE" w:rsidRDefault="008F75CE" w:rsidP="008F75CE">
            <w:pPr>
              <w:widowControl w:val="0"/>
              <w:spacing w:before="45"/>
              <w:ind w:lef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26.980.370.794</w:t>
            </w:r>
          </w:p>
        </w:tc>
        <w:tc>
          <w:tcPr>
            <w:tcW w:w="2410" w:type="dxa"/>
          </w:tcPr>
          <w:p w14:paraId="0EA8ED4C" w14:textId="77777777" w:rsidR="008F75CE" w:rsidRDefault="008F75CE" w:rsidP="008F75CE">
            <w:pPr>
              <w:widowControl w:val="0"/>
              <w:spacing w:before="45"/>
              <w:ind w:left="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1.105.724.292</w:t>
            </w:r>
          </w:p>
        </w:tc>
        <w:tc>
          <w:tcPr>
            <w:tcW w:w="2268" w:type="dxa"/>
          </w:tcPr>
          <w:p w14:paraId="01A424B3" w14:textId="77777777" w:rsidR="008F75CE" w:rsidRDefault="008F75CE" w:rsidP="008F75CE">
            <w:pPr>
              <w:widowControl w:val="0"/>
              <w:spacing w:before="45"/>
              <w:ind w:left="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28.086.095.086</w:t>
            </w:r>
          </w:p>
        </w:tc>
      </w:tr>
      <w:tr w:rsidR="008F75CE" w14:paraId="654D09F9" w14:textId="77777777" w:rsidTr="008F75CE">
        <w:trPr>
          <w:trHeight w:val="335"/>
        </w:trPr>
        <w:tc>
          <w:tcPr>
            <w:tcW w:w="1350" w:type="dxa"/>
          </w:tcPr>
          <w:p w14:paraId="2BD9ACC5" w14:textId="77777777" w:rsidR="008F75CE" w:rsidRDefault="008F75CE" w:rsidP="009B6A76">
            <w:pPr>
              <w:widowControl w:val="0"/>
              <w:spacing w:before="1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2014 - 2015</w:t>
            </w:r>
          </w:p>
        </w:tc>
        <w:tc>
          <w:tcPr>
            <w:tcW w:w="2779" w:type="dxa"/>
          </w:tcPr>
          <w:p w14:paraId="58C5C8B6" w14:textId="77777777" w:rsidR="008F75CE" w:rsidRDefault="008F75CE" w:rsidP="008F75CE">
            <w:pPr>
              <w:widowControl w:val="0"/>
              <w:spacing w:before="1"/>
              <w:ind w:lef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24.072.149.420</w:t>
            </w:r>
          </w:p>
        </w:tc>
        <w:tc>
          <w:tcPr>
            <w:tcW w:w="2410" w:type="dxa"/>
          </w:tcPr>
          <w:p w14:paraId="36B1C6B9" w14:textId="77777777" w:rsidR="008F75CE" w:rsidRDefault="008F75CE" w:rsidP="008F75CE">
            <w:pPr>
              <w:widowControl w:val="0"/>
              <w:spacing w:before="1"/>
              <w:ind w:left="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6.072.650.178</w:t>
            </w:r>
          </w:p>
        </w:tc>
        <w:tc>
          <w:tcPr>
            <w:tcW w:w="2268" w:type="dxa"/>
          </w:tcPr>
          <w:p w14:paraId="5D2165D8" w14:textId="77777777" w:rsidR="008F75CE" w:rsidRDefault="008F75CE" w:rsidP="008F75CE">
            <w:pPr>
              <w:widowControl w:val="0"/>
              <w:spacing w:before="1"/>
              <w:ind w:left="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30.144.799.598</w:t>
            </w:r>
          </w:p>
        </w:tc>
      </w:tr>
      <w:tr w:rsidR="008F75CE" w14:paraId="11C1EA5A" w14:textId="77777777" w:rsidTr="008F75CE">
        <w:trPr>
          <w:trHeight w:val="412"/>
        </w:trPr>
        <w:tc>
          <w:tcPr>
            <w:tcW w:w="1350" w:type="dxa"/>
          </w:tcPr>
          <w:p w14:paraId="578494FC" w14:textId="77777777" w:rsidR="008F75CE" w:rsidRDefault="008F75CE" w:rsidP="009B6A76">
            <w:pPr>
              <w:widowControl w:val="0"/>
              <w:spacing w:before="40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779" w:type="dxa"/>
          </w:tcPr>
          <w:p w14:paraId="1454673C" w14:textId="77777777" w:rsidR="008F75CE" w:rsidRDefault="008F75CE" w:rsidP="008F75CE">
            <w:pPr>
              <w:widowControl w:val="0"/>
              <w:spacing w:before="40"/>
              <w:ind w:lef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9.149.436.261</w:t>
            </w:r>
          </w:p>
        </w:tc>
        <w:tc>
          <w:tcPr>
            <w:tcW w:w="2410" w:type="dxa"/>
          </w:tcPr>
          <w:p w14:paraId="05091A8E" w14:textId="77777777" w:rsidR="008F75CE" w:rsidRDefault="008F75CE" w:rsidP="008F75CE">
            <w:pPr>
              <w:widowControl w:val="0"/>
              <w:spacing w:before="40"/>
              <w:ind w:left="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2.294.226.748</w:t>
            </w:r>
          </w:p>
        </w:tc>
        <w:tc>
          <w:tcPr>
            <w:tcW w:w="2268" w:type="dxa"/>
          </w:tcPr>
          <w:p w14:paraId="494C5E13" w14:textId="77777777" w:rsidR="008F75CE" w:rsidRDefault="008F75CE" w:rsidP="008F75CE">
            <w:pPr>
              <w:widowControl w:val="0"/>
              <w:spacing w:before="40"/>
              <w:ind w:left="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11.443.663.009</w:t>
            </w:r>
          </w:p>
        </w:tc>
      </w:tr>
      <w:tr w:rsidR="008F75CE" w14:paraId="2E008FEB" w14:textId="77777777" w:rsidTr="008F75CE">
        <w:trPr>
          <w:trHeight w:val="354"/>
        </w:trPr>
        <w:tc>
          <w:tcPr>
            <w:tcW w:w="1350" w:type="dxa"/>
            <w:shd w:val="clear" w:color="auto" w:fill="F1F1F1"/>
          </w:tcPr>
          <w:p w14:paraId="5748444D" w14:textId="77777777" w:rsidR="008F75CE" w:rsidRDefault="008F75CE" w:rsidP="009B6A76">
            <w:pPr>
              <w:widowControl w:val="0"/>
              <w:spacing w:before="16"/>
              <w:ind w:left="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79" w:type="dxa"/>
            <w:shd w:val="clear" w:color="auto" w:fill="F1F1F1"/>
          </w:tcPr>
          <w:p w14:paraId="0A71345D" w14:textId="77777777" w:rsidR="008F75CE" w:rsidRDefault="008F75CE" w:rsidP="008F75CE">
            <w:pPr>
              <w:widowControl w:val="0"/>
              <w:spacing w:before="16"/>
              <w:ind w:left="7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65.173.244.955</w:t>
            </w:r>
          </w:p>
        </w:tc>
        <w:tc>
          <w:tcPr>
            <w:tcW w:w="2410" w:type="dxa"/>
            <w:shd w:val="clear" w:color="auto" w:fill="F1F1F1"/>
          </w:tcPr>
          <w:p w14:paraId="33F286F6" w14:textId="77777777" w:rsidR="008F75CE" w:rsidRDefault="008F75CE" w:rsidP="008F75CE">
            <w:pPr>
              <w:widowControl w:val="0"/>
              <w:spacing w:before="16"/>
              <w:ind w:left="7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11.794.741.040</w:t>
            </w:r>
          </w:p>
        </w:tc>
        <w:tc>
          <w:tcPr>
            <w:tcW w:w="2268" w:type="dxa"/>
            <w:shd w:val="clear" w:color="auto" w:fill="F1F1F1"/>
          </w:tcPr>
          <w:p w14:paraId="7A306787" w14:textId="77777777" w:rsidR="008F75CE" w:rsidRDefault="008F75CE" w:rsidP="008F75CE">
            <w:pPr>
              <w:widowControl w:val="0"/>
              <w:spacing w:before="16"/>
              <w:ind w:left="7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76.967.985.995</w:t>
            </w:r>
          </w:p>
        </w:tc>
      </w:tr>
    </w:tbl>
    <w:p w14:paraId="669DF72C" w14:textId="77777777" w:rsidR="008F75CE" w:rsidRDefault="008F75CE" w:rsidP="008F75CE">
      <w:pPr>
        <w:widowControl w:val="0"/>
        <w:spacing w:before="6"/>
        <w:jc w:val="center"/>
        <w:rPr>
          <w:sz w:val="24"/>
          <w:szCs w:val="24"/>
        </w:rPr>
      </w:pPr>
      <w:r>
        <w:rPr>
          <w:sz w:val="24"/>
          <w:szCs w:val="24"/>
        </w:rPr>
        <w:t>Fuente: Gobernación de Nariño, oficina de planeación.</w:t>
      </w:r>
    </w:p>
    <w:p w14:paraId="02013053" w14:textId="77777777" w:rsidR="00687AEA" w:rsidRDefault="00687AEA">
      <w:pPr>
        <w:spacing w:line="240" w:lineRule="auto"/>
        <w:ind w:right="260"/>
        <w:jc w:val="both"/>
        <w:rPr>
          <w:sz w:val="24"/>
          <w:szCs w:val="24"/>
        </w:rPr>
      </w:pPr>
    </w:p>
    <w:p w14:paraId="02A7883E" w14:textId="77777777" w:rsidR="00687AEA" w:rsidRDefault="00136911">
      <w:pPr>
        <w:spacing w:after="16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carta se expide de conformidad con las normas establecidas en el artículo 361 de la Constitución Política, la Ley 2056 de </w:t>
      </w:r>
      <w:proofErr w:type="gramStart"/>
      <w:r>
        <w:rPr>
          <w:sz w:val="24"/>
          <w:szCs w:val="24"/>
        </w:rPr>
        <w:t>2020 ,el</w:t>
      </w:r>
      <w:proofErr w:type="gramEnd"/>
      <w:r>
        <w:rPr>
          <w:sz w:val="24"/>
          <w:szCs w:val="24"/>
        </w:rPr>
        <w:t xml:space="preserve"> Decreto 1821 de 2020,  los Acuerdos de la Comisión Rectora del SGR y demás normas concordantes del sistema. </w:t>
      </w:r>
    </w:p>
    <w:p w14:paraId="73B58AE6" w14:textId="77777777" w:rsidR="00687AEA" w:rsidRDefault="00687AEA">
      <w:pPr>
        <w:spacing w:after="160" w:line="252" w:lineRule="auto"/>
        <w:jc w:val="both"/>
        <w:rPr>
          <w:sz w:val="24"/>
          <w:szCs w:val="24"/>
        </w:rPr>
      </w:pPr>
    </w:p>
    <w:p w14:paraId="169E915E" w14:textId="77777777" w:rsidR="00687AEA" w:rsidRDefault="00136911" w:rsidP="007277E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 w14:paraId="5C3B87B5" w14:textId="77777777" w:rsidR="00687AEA" w:rsidRDefault="00687AEA">
      <w:pPr>
        <w:spacing w:line="240" w:lineRule="auto"/>
        <w:ind w:left="260"/>
        <w:jc w:val="both"/>
        <w:rPr>
          <w:sz w:val="24"/>
          <w:szCs w:val="24"/>
        </w:rPr>
      </w:pPr>
    </w:p>
    <w:p w14:paraId="72D20C4F" w14:textId="77777777" w:rsidR="00687AEA" w:rsidRDefault="00687AEA">
      <w:pPr>
        <w:spacing w:line="240" w:lineRule="auto"/>
        <w:ind w:left="260"/>
        <w:jc w:val="both"/>
        <w:rPr>
          <w:sz w:val="24"/>
          <w:szCs w:val="24"/>
        </w:rPr>
      </w:pPr>
    </w:p>
    <w:p w14:paraId="7F2F1F91" w14:textId="3BD97F73" w:rsidR="00687AEA" w:rsidRDefault="00687AEA">
      <w:pPr>
        <w:spacing w:line="240" w:lineRule="auto"/>
        <w:ind w:left="260"/>
        <w:jc w:val="both"/>
        <w:rPr>
          <w:sz w:val="24"/>
          <w:szCs w:val="24"/>
        </w:rPr>
      </w:pPr>
    </w:p>
    <w:p w14:paraId="17C81C7A" w14:textId="77777777" w:rsidR="007277E5" w:rsidRPr="006B54F8" w:rsidRDefault="007277E5" w:rsidP="007277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4F8">
        <w:rPr>
          <w:rFonts w:eastAsia="Times New Roman"/>
          <w:b/>
          <w:bCs/>
          <w:color w:val="000000"/>
        </w:rPr>
        <w:t>JHON ALEXANDER ROJAS CABRERA </w:t>
      </w:r>
    </w:p>
    <w:p w14:paraId="72F928B1" w14:textId="77777777" w:rsidR="007277E5" w:rsidRPr="00C515D4" w:rsidRDefault="007277E5" w:rsidP="007277E5">
      <w:pPr>
        <w:spacing w:line="240" w:lineRule="auto"/>
        <w:jc w:val="both"/>
        <w:rPr>
          <w:sz w:val="24"/>
          <w:szCs w:val="24"/>
        </w:rPr>
      </w:pPr>
      <w:r w:rsidRPr="00C515D4">
        <w:rPr>
          <w:sz w:val="24"/>
          <w:szCs w:val="24"/>
        </w:rPr>
        <w:t>Representante Legal</w:t>
      </w:r>
    </w:p>
    <w:p w14:paraId="5B9B0D3A" w14:textId="77777777" w:rsidR="007277E5" w:rsidRPr="00BA23A2" w:rsidRDefault="007277E5" w:rsidP="007277E5">
      <w:pPr>
        <w:spacing w:line="240" w:lineRule="auto"/>
        <w:jc w:val="both"/>
        <w:rPr>
          <w:sz w:val="24"/>
          <w:szCs w:val="24"/>
        </w:rPr>
      </w:pPr>
      <w:r w:rsidRPr="00C515D4">
        <w:rPr>
          <w:sz w:val="24"/>
          <w:szCs w:val="24"/>
        </w:rPr>
        <w:t xml:space="preserve">Gobernación de Nariño </w:t>
      </w:r>
    </w:p>
    <w:p w14:paraId="66575EE2" w14:textId="77777777" w:rsidR="007277E5" w:rsidRDefault="007277E5" w:rsidP="007277E5"/>
    <w:p w14:paraId="21FB3373" w14:textId="77777777" w:rsidR="007277E5" w:rsidRDefault="007277E5">
      <w:pPr>
        <w:spacing w:line="240" w:lineRule="auto"/>
        <w:ind w:left="260"/>
        <w:jc w:val="both"/>
        <w:rPr>
          <w:sz w:val="24"/>
          <w:szCs w:val="24"/>
        </w:rPr>
      </w:pPr>
    </w:p>
    <w:sectPr w:rsidR="007277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EA"/>
    <w:rsid w:val="00043859"/>
    <w:rsid w:val="00136911"/>
    <w:rsid w:val="00687AEA"/>
    <w:rsid w:val="007277E5"/>
    <w:rsid w:val="008F75CE"/>
    <w:rsid w:val="00D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C68E"/>
  <w15:docId w15:val="{118ABFDF-B994-4D71-8EB8-5F9DD85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Predator</dc:creator>
  <cp:lastModifiedBy>HP</cp:lastModifiedBy>
  <cp:revision>6</cp:revision>
  <dcterms:created xsi:type="dcterms:W3CDTF">2021-11-11T23:37:00Z</dcterms:created>
  <dcterms:modified xsi:type="dcterms:W3CDTF">2021-11-12T02:53:00Z</dcterms:modified>
</cp:coreProperties>
</file>